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EE698" w14:textId="4B3EA010" w:rsidR="00DB7E86" w:rsidRDefault="00DB7E86" w:rsidP="00DB7E86">
      <w:pPr>
        <w:pStyle w:val="CRCoverPage"/>
        <w:tabs>
          <w:tab w:val="right" w:pos="9639"/>
        </w:tabs>
        <w:spacing w:after="0"/>
        <w:rPr>
          <w:rFonts w:eastAsiaTheme="minor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w:t>
      </w:r>
      <w:r>
        <w:rPr>
          <w:rFonts w:cs="Arial"/>
          <w:b/>
          <w:bCs/>
          <w:sz w:val="24"/>
          <w:szCs w:val="24"/>
        </w:rPr>
        <w:t>127</w:t>
      </w:r>
      <w:r>
        <w:rPr>
          <w:b/>
          <w:i/>
          <w:sz w:val="28"/>
        </w:rPr>
        <w:tab/>
      </w:r>
      <w:r>
        <w:rPr>
          <w:b/>
          <w:iCs/>
          <w:sz w:val="24"/>
          <w:szCs w:val="18"/>
        </w:rPr>
        <w:t xml:space="preserve">        </w:t>
      </w:r>
      <w:r>
        <w:rPr>
          <w:b/>
          <w:iCs/>
          <w:sz w:val="24"/>
          <w:szCs w:val="18"/>
          <w:lang w:val="en-US"/>
        </w:rPr>
        <w:t xml:space="preserve">  </w:t>
      </w:r>
      <w:r>
        <w:rPr>
          <w:rFonts w:eastAsia="SimSun" w:hint="eastAsia"/>
          <w:b/>
          <w:iCs/>
          <w:sz w:val="24"/>
          <w:szCs w:val="18"/>
          <w:lang w:val="en-US" w:eastAsia="zh-CN"/>
        </w:rPr>
        <w:t xml:space="preserve">   </w:t>
      </w:r>
      <w:r w:rsidRPr="008D7726">
        <w:rPr>
          <w:b/>
          <w:iCs/>
          <w:sz w:val="24"/>
          <w:szCs w:val="18"/>
        </w:rPr>
        <w:t>R3-</w:t>
      </w:r>
      <w:r w:rsidR="002F5728">
        <w:rPr>
          <w:b/>
          <w:iCs/>
          <w:sz w:val="24"/>
          <w:szCs w:val="18"/>
        </w:rPr>
        <w:t>250519</w:t>
      </w:r>
    </w:p>
    <w:bookmarkEnd w:id="0"/>
    <w:bookmarkEnd w:id="1"/>
    <w:bookmarkEnd w:id="2"/>
    <w:p w14:paraId="78F107B8" w14:textId="77777777" w:rsidR="00DB7E86" w:rsidRDefault="00DB7E86" w:rsidP="00DB7E86">
      <w:pPr>
        <w:pStyle w:val="3gpptitlecitytdocnumber"/>
        <w:spacing w:line="240" w:lineRule="auto"/>
        <w:rPr>
          <w:rFonts w:eastAsia="SimSun"/>
          <w:sz w:val="28"/>
          <w:szCs w:val="28"/>
          <w:lang w:val="en-US" w:eastAsia="zh-CN"/>
        </w:rPr>
      </w:pPr>
      <w:r>
        <w:rPr>
          <w:rFonts w:eastAsiaTheme="minorEastAsia"/>
          <w:szCs w:val="24"/>
          <w:lang w:eastAsia="zh-CN"/>
        </w:rPr>
        <w:t>Athens</w:t>
      </w:r>
      <w:r>
        <w:rPr>
          <w:rFonts w:eastAsiaTheme="minorEastAsia" w:hint="eastAsia"/>
          <w:szCs w:val="24"/>
          <w:lang w:eastAsia="zh-CN"/>
        </w:rPr>
        <w:t>,</w:t>
      </w:r>
      <w:r>
        <w:rPr>
          <w:rFonts w:eastAsiaTheme="minorEastAsia"/>
          <w:szCs w:val="24"/>
        </w:rPr>
        <w:t xml:space="preserve"> </w:t>
      </w:r>
      <w:r>
        <w:rPr>
          <w:rFonts w:eastAsiaTheme="minorEastAsia"/>
          <w:szCs w:val="24"/>
          <w:lang w:eastAsia="zh-CN"/>
        </w:rPr>
        <w:t>Greece</w:t>
      </w:r>
      <w:r>
        <w:rPr>
          <w:rFonts w:eastAsiaTheme="minorEastAsia" w:hint="eastAsia"/>
          <w:szCs w:val="24"/>
          <w:lang w:eastAsia="zh-CN"/>
        </w:rPr>
        <w:t>,</w:t>
      </w:r>
      <w:r>
        <w:rPr>
          <w:rFonts w:eastAsiaTheme="minorEastAsia"/>
          <w:szCs w:val="24"/>
        </w:rPr>
        <w:t xml:space="preserve"> 17</w:t>
      </w:r>
      <w:r>
        <w:rPr>
          <w:rFonts w:eastAsiaTheme="minorEastAsia"/>
          <w:szCs w:val="24"/>
          <w:vertAlign w:val="superscript"/>
        </w:rPr>
        <w:t>th</w:t>
      </w:r>
      <w:r>
        <w:rPr>
          <w:rFonts w:eastAsiaTheme="minorEastAsia"/>
          <w:szCs w:val="24"/>
        </w:rPr>
        <w:t xml:space="preserve"> – 21</w:t>
      </w:r>
      <w:r>
        <w:rPr>
          <w:rFonts w:eastAsiaTheme="minorEastAsia"/>
          <w:szCs w:val="24"/>
          <w:vertAlign w:val="superscript"/>
        </w:rPr>
        <w:t>st</w:t>
      </w:r>
      <w:r>
        <w:rPr>
          <w:rFonts w:eastAsiaTheme="minorEastAsia"/>
          <w:szCs w:val="24"/>
        </w:rPr>
        <w:t xml:space="preserve"> Feb 2025</w:t>
      </w:r>
    </w:p>
    <w:p w14:paraId="51C20804" w14:textId="3F9758E0" w:rsidR="00DB7E86" w:rsidRPr="009E553C" w:rsidRDefault="00DB7E86" w:rsidP="00DB7E86">
      <w:pPr>
        <w:pStyle w:val="a"/>
        <w:rPr>
          <w:lang w:eastAsia="zh-CN"/>
        </w:rPr>
      </w:pPr>
      <w:r>
        <w:t>Agenda Item:</w:t>
      </w:r>
      <w:r>
        <w:tab/>
      </w:r>
      <w:r>
        <w:rPr>
          <w:rFonts w:hint="eastAsia"/>
          <w:lang w:eastAsia="zh-CN"/>
        </w:rPr>
        <w:t>8.1</w:t>
      </w:r>
    </w:p>
    <w:p w14:paraId="1BBA6A21" w14:textId="77777777" w:rsidR="00DB7E86" w:rsidRPr="009E553C" w:rsidRDefault="00DB7E86" w:rsidP="00DB7E86">
      <w:pPr>
        <w:pStyle w:val="a"/>
      </w:pPr>
      <w:r>
        <w:t>Source:</w:t>
      </w:r>
      <w:r>
        <w:tab/>
      </w:r>
      <w:r w:rsidRPr="009E553C">
        <w:t>CMCC</w:t>
      </w:r>
    </w:p>
    <w:p w14:paraId="25D4FAAD" w14:textId="53C11A7D" w:rsidR="0054232F" w:rsidRPr="0054232F" w:rsidRDefault="0054232F" w:rsidP="0054232F">
      <w:pPr>
        <w:pStyle w:val="a"/>
      </w:pPr>
      <w:r w:rsidRPr="00EB6949">
        <w:t>Title:</w:t>
      </w:r>
      <w:r w:rsidRPr="00EB6949">
        <w:tab/>
      </w:r>
      <w:r w:rsidR="00A74015" w:rsidRPr="00A74015">
        <w:t>Discussion on SA2 LS Reply on FS_XRM Ph2 Regarding Available Data Rate Reporting from RAN</w:t>
      </w:r>
    </w:p>
    <w:p w14:paraId="1945D9CA" w14:textId="77777777" w:rsidR="0054232F" w:rsidRPr="009E553C" w:rsidRDefault="0054232F" w:rsidP="0054232F">
      <w:pPr>
        <w:pStyle w:val="a"/>
      </w:pPr>
      <w:r w:rsidRPr="009E553C">
        <w:t>Document for:</w:t>
      </w:r>
      <w:r w:rsidRPr="009E553C">
        <w:tab/>
        <w:t>Discussions &amp; Approval</w:t>
      </w:r>
    </w:p>
    <w:p w14:paraId="04D7187A" w14:textId="77777777" w:rsidR="00CD4C7B" w:rsidRPr="00A51502" w:rsidRDefault="0056573F" w:rsidP="00751E63">
      <w:pPr>
        <w:pStyle w:val="Heading1"/>
        <w:rPr>
          <w:lang w:eastAsia="zh-CN"/>
        </w:rPr>
      </w:pPr>
      <w:r w:rsidRPr="00751E63">
        <w:t>Introduction</w:t>
      </w:r>
    </w:p>
    <w:p w14:paraId="415734D8" w14:textId="2D895060" w:rsidR="0039089C" w:rsidRPr="00DB7E86" w:rsidRDefault="00DB7E86" w:rsidP="00DB7E86">
      <w:pPr>
        <w:rPr>
          <w:sz w:val="21"/>
          <w:szCs w:val="21"/>
          <w:lang w:eastAsia="zh-CN"/>
        </w:rPr>
      </w:pPr>
      <w:r w:rsidRPr="00DB7E86">
        <w:rPr>
          <w:sz w:val="21"/>
          <w:szCs w:val="21"/>
          <w:lang w:eastAsia="zh-CN"/>
        </w:rPr>
        <w:t>SA2</w:t>
      </w:r>
      <w:r w:rsidR="008A54A5" w:rsidRPr="00DB7E86">
        <w:rPr>
          <w:rFonts w:hint="eastAsia"/>
          <w:sz w:val="21"/>
          <w:szCs w:val="21"/>
          <w:lang w:eastAsia="zh-CN"/>
        </w:rPr>
        <w:t xml:space="preserve"> </w:t>
      </w:r>
      <w:r w:rsidRPr="00DB7E86">
        <w:rPr>
          <w:sz w:val="21"/>
          <w:szCs w:val="21"/>
          <w:lang w:eastAsia="zh-CN"/>
        </w:rPr>
        <w:t>provides the feedback on RAN3’s question regarding: RAN3 would like SA2 to further clarify the definition of “available data rate”, e.g., it is only below the GFBR, or between GFBR and MFBR, or even above MBFR; whether it should be periodic reporting, on demand reporting, or threshold(s) defined reporting</w:t>
      </w:r>
      <w:r w:rsidR="008A54A5" w:rsidRPr="00DB7E86">
        <w:rPr>
          <w:sz w:val="21"/>
          <w:szCs w:val="21"/>
          <w:lang w:eastAsia="zh-CN"/>
        </w:rPr>
        <w:t xml:space="preserve"> </w:t>
      </w:r>
      <w:r w:rsidR="0054232F" w:rsidRPr="00DB7E86">
        <w:rPr>
          <w:sz w:val="21"/>
          <w:szCs w:val="21"/>
          <w:lang w:eastAsia="zh-CN"/>
        </w:rPr>
        <w:fldChar w:fldCharType="begin"/>
      </w:r>
      <w:r w:rsidR="0054232F" w:rsidRPr="00DB7E86">
        <w:rPr>
          <w:sz w:val="21"/>
          <w:szCs w:val="21"/>
          <w:lang w:eastAsia="zh-CN"/>
        </w:rPr>
        <w:instrText xml:space="preserve"> REF _Ref181699015 \r \h </w:instrText>
      </w:r>
      <w:r>
        <w:rPr>
          <w:sz w:val="21"/>
          <w:szCs w:val="21"/>
          <w:lang w:eastAsia="zh-CN"/>
        </w:rPr>
        <w:instrText xml:space="preserve"> \* MERGEFORMAT </w:instrText>
      </w:r>
      <w:r w:rsidR="0054232F" w:rsidRPr="00DB7E86">
        <w:rPr>
          <w:sz w:val="21"/>
          <w:szCs w:val="21"/>
          <w:lang w:eastAsia="zh-CN"/>
        </w:rPr>
      </w:r>
      <w:r w:rsidR="0054232F" w:rsidRPr="00DB7E86">
        <w:rPr>
          <w:sz w:val="21"/>
          <w:szCs w:val="21"/>
          <w:lang w:eastAsia="zh-CN"/>
        </w:rPr>
        <w:fldChar w:fldCharType="separate"/>
      </w:r>
      <w:r w:rsidR="0054232F" w:rsidRPr="00DB7E86">
        <w:rPr>
          <w:sz w:val="21"/>
          <w:szCs w:val="21"/>
          <w:lang w:eastAsia="zh-CN"/>
        </w:rPr>
        <w:t>[1]</w:t>
      </w:r>
      <w:r w:rsidR="0054232F" w:rsidRPr="00DB7E86">
        <w:rPr>
          <w:sz w:val="21"/>
          <w:szCs w:val="21"/>
          <w:lang w:eastAsia="zh-CN"/>
        </w:rPr>
        <w:fldChar w:fldCharType="end"/>
      </w:r>
      <w:r w:rsidR="0039089C" w:rsidRPr="00DB7E86">
        <w:rPr>
          <w:sz w:val="21"/>
          <w:szCs w:val="21"/>
          <w:lang w:eastAsia="zh-CN"/>
        </w:rPr>
        <w:t>:</w:t>
      </w:r>
    </w:p>
    <w:tbl>
      <w:tblPr>
        <w:tblStyle w:val="TableGrid"/>
        <w:tblW w:w="0" w:type="auto"/>
        <w:tblLook w:val="04A0" w:firstRow="1" w:lastRow="0" w:firstColumn="1" w:lastColumn="0" w:noHBand="0" w:noVBand="1"/>
      </w:tblPr>
      <w:tblGrid>
        <w:gridCol w:w="9631"/>
      </w:tblGrid>
      <w:tr w:rsidR="0039089C" w:rsidRPr="00751E63" w14:paraId="3A890318" w14:textId="77777777" w:rsidTr="0039089C">
        <w:tc>
          <w:tcPr>
            <w:tcW w:w="9631" w:type="dxa"/>
          </w:tcPr>
          <w:p w14:paraId="2DD752F1" w14:textId="77777777" w:rsidR="00DB7E86" w:rsidRPr="009E4A9C" w:rsidRDefault="00DB7E86" w:rsidP="00DB7E86">
            <w:pPr>
              <w:rPr>
                <w:rFonts w:cs="Arial"/>
                <w:b/>
                <w:color w:val="000000"/>
              </w:rPr>
            </w:pPr>
            <w:r w:rsidRPr="009E4A9C">
              <w:rPr>
                <w:rFonts w:cs="Arial" w:hint="eastAsia"/>
                <w:b/>
                <w:color w:val="000000"/>
              </w:rPr>
              <w:t>F</w:t>
            </w:r>
            <w:r w:rsidRPr="009E4A9C">
              <w:rPr>
                <w:rFonts w:cs="Arial"/>
                <w:b/>
                <w:color w:val="000000"/>
              </w:rPr>
              <w:t xml:space="preserve">eedback </w:t>
            </w:r>
            <w:r w:rsidRPr="009E4A9C">
              <w:rPr>
                <w:rFonts w:cs="Arial" w:hint="eastAsia"/>
                <w:b/>
                <w:color w:val="000000"/>
              </w:rPr>
              <w:t>from</w:t>
            </w:r>
            <w:r w:rsidRPr="009E4A9C">
              <w:rPr>
                <w:rFonts w:cs="Arial"/>
                <w:b/>
                <w:color w:val="000000"/>
              </w:rPr>
              <w:t xml:space="preserve"> SA2: </w:t>
            </w:r>
          </w:p>
          <w:p w14:paraId="3895C2D0" w14:textId="77777777" w:rsidR="00DB7E86" w:rsidRDefault="00DB7E86" w:rsidP="00DB7E86">
            <w:pPr>
              <w:rPr>
                <w:rFonts w:cs="Arial"/>
                <w:color w:val="000000"/>
              </w:rPr>
            </w:pPr>
            <w:r w:rsidRPr="009E4A9C">
              <w:rPr>
                <w:rFonts w:cs="Arial"/>
                <w:color w:val="000000"/>
              </w:rPr>
              <w:t xml:space="preserve">From SA2 perspective, </w:t>
            </w:r>
            <w:r>
              <w:rPr>
                <w:rFonts w:cs="Arial"/>
                <w:color w:val="000000"/>
              </w:rPr>
              <w:t xml:space="preserve">it is expected that </w:t>
            </w:r>
            <w:r w:rsidRPr="009E4A9C">
              <w:rPr>
                <w:rFonts w:cs="Arial"/>
                <w:color w:val="000000"/>
              </w:rPr>
              <w:t xml:space="preserve">the available data rate </w:t>
            </w:r>
            <w:r>
              <w:rPr>
                <w:rFonts w:cs="Arial"/>
                <w:color w:val="000000"/>
              </w:rPr>
              <w:t>is properly reflecting the resources that are currently provided by the N</w:t>
            </w:r>
            <w:r w:rsidRPr="009E4A9C">
              <w:rPr>
                <w:rFonts w:cs="Arial"/>
                <w:color w:val="000000"/>
              </w:rPr>
              <w:t>G-RAN</w:t>
            </w:r>
            <w:r>
              <w:rPr>
                <w:rFonts w:cs="Arial"/>
                <w:color w:val="000000"/>
              </w:rPr>
              <w:t xml:space="preserve"> for the QoS Flow</w:t>
            </w:r>
            <w:r w:rsidRPr="009E4A9C">
              <w:rPr>
                <w:rFonts w:cs="Arial"/>
                <w:color w:val="000000"/>
              </w:rPr>
              <w:t xml:space="preserve">. While it is up to the application layer how to make use of it, we can </w:t>
            </w:r>
            <w:r>
              <w:rPr>
                <w:rFonts w:cs="Arial"/>
                <w:color w:val="000000"/>
              </w:rPr>
              <w:t xml:space="preserve">however </w:t>
            </w:r>
            <w:r w:rsidRPr="009E4A9C">
              <w:rPr>
                <w:rFonts w:cs="Arial"/>
                <w:color w:val="000000"/>
              </w:rPr>
              <w:t>assume that the application will typically exchange data with a somewhat lower rate than what is reserved or measured at NG-RAN.</w:t>
            </w:r>
            <w:r w:rsidRPr="009E4A9C">
              <w:rPr>
                <w:rFonts w:cs="Arial" w:hint="eastAsia"/>
                <w:color w:val="000000"/>
              </w:rPr>
              <w:t xml:space="preserve"> </w:t>
            </w:r>
          </w:p>
          <w:p w14:paraId="645F888A" w14:textId="77777777" w:rsidR="00DB7E86" w:rsidRPr="009E4A9C" w:rsidRDefault="00DB7E86" w:rsidP="00DB7E86">
            <w:pPr>
              <w:rPr>
                <w:rFonts w:cs="Arial"/>
                <w:color w:val="000000"/>
              </w:rPr>
            </w:pPr>
          </w:p>
          <w:p w14:paraId="40061450" w14:textId="77777777" w:rsidR="00DB7E86" w:rsidRDefault="00DB7E86" w:rsidP="00DB7E86">
            <w:pPr>
              <w:rPr>
                <w:rFonts w:cs="Arial"/>
                <w:color w:val="000000"/>
              </w:rPr>
            </w:pPr>
            <w:r w:rsidRPr="009E4A9C">
              <w:rPr>
                <w:rFonts w:cs="Arial"/>
                <w:color w:val="000000"/>
              </w:rPr>
              <w:t xml:space="preserve">Regarding the definition of “available data rate”, it refers to the data rate that NG-RAN is </w:t>
            </w:r>
            <w:r>
              <w:rPr>
                <w:rFonts w:cs="Arial"/>
                <w:color w:val="000000"/>
              </w:rPr>
              <w:t xml:space="preserve">currently </w:t>
            </w:r>
            <w:r w:rsidRPr="009E4A9C">
              <w:rPr>
                <w:rFonts w:cs="Arial"/>
                <w:color w:val="000000"/>
              </w:rPr>
              <w:t xml:space="preserve">able to provide </w:t>
            </w:r>
            <w:r>
              <w:rPr>
                <w:rFonts w:cs="Arial"/>
                <w:color w:val="000000"/>
              </w:rPr>
              <w:t>for a QoS Flow with GFBR</w:t>
            </w:r>
            <w:r w:rsidRPr="009E4A9C">
              <w:rPr>
                <w:rFonts w:cs="Arial"/>
                <w:color w:val="000000"/>
              </w:rPr>
              <w:t xml:space="preserve">. </w:t>
            </w:r>
            <w:r>
              <w:rPr>
                <w:rFonts w:cs="Arial"/>
                <w:color w:val="000000"/>
              </w:rPr>
              <w:t xml:space="preserve">The </w:t>
            </w:r>
            <w:r w:rsidRPr="009E4A9C">
              <w:rPr>
                <w:rFonts w:cs="Arial"/>
                <w:color w:val="000000"/>
              </w:rPr>
              <w:t xml:space="preserve">“available data rate” </w:t>
            </w:r>
            <w:r w:rsidRPr="009E4A9C">
              <w:rPr>
                <w:rFonts w:cs="Arial" w:hint="eastAsia"/>
                <w:color w:val="000000"/>
              </w:rPr>
              <w:t>c</w:t>
            </w:r>
            <w:r w:rsidRPr="009E4A9C">
              <w:rPr>
                <w:rFonts w:cs="Arial"/>
                <w:color w:val="000000"/>
              </w:rPr>
              <w:t xml:space="preserve">an be between the GFBR and </w:t>
            </w:r>
            <w:r>
              <w:rPr>
                <w:rFonts w:cs="Arial"/>
                <w:color w:val="000000"/>
              </w:rPr>
              <w:t xml:space="preserve">the </w:t>
            </w:r>
            <w:r w:rsidRPr="009E4A9C">
              <w:rPr>
                <w:rFonts w:cs="Arial"/>
                <w:color w:val="000000"/>
              </w:rPr>
              <w:t>MFBR</w:t>
            </w:r>
            <w:r>
              <w:rPr>
                <w:rFonts w:cs="Arial"/>
                <w:color w:val="000000"/>
              </w:rPr>
              <w:t xml:space="preserve"> for a QoS Flow with MFBR&gt;GFBR.</w:t>
            </w:r>
            <w:r w:rsidRPr="009E4A9C">
              <w:rPr>
                <w:rFonts w:cs="Arial"/>
                <w:color w:val="000000"/>
              </w:rPr>
              <w:t xml:space="preserve"> </w:t>
            </w:r>
            <w:r>
              <w:rPr>
                <w:rFonts w:cs="Arial"/>
                <w:color w:val="000000"/>
              </w:rPr>
              <w:t xml:space="preserve">The </w:t>
            </w:r>
            <w:r w:rsidRPr="009E4A9C">
              <w:rPr>
                <w:rFonts w:cs="Arial"/>
                <w:color w:val="000000"/>
              </w:rPr>
              <w:t xml:space="preserve">“available data rate” </w:t>
            </w:r>
            <w:r w:rsidRPr="009E4A9C">
              <w:rPr>
                <w:rFonts w:cs="Arial" w:hint="eastAsia"/>
                <w:color w:val="000000"/>
              </w:rPr>
              <w:t>c</w:t>
            </w:r>
            <w:r w:rsidRPr="009E4A9C">
              <w:rPr>
                <w:rFonts w:cs="Arial"/>
                <w:color w:val="000000"/>
              </w:rPr>
              <w:t xml:space="preserve">an </w:t>
            </w:r>
            <w:r>
              <w:rPr>
                <w:rFonts w:cs="Arial"/>
                <w:color w:val="000000"/>
              </w:rPr>
              <w:t xml:space="preserve">also </w:t>
            </w:r>
            <w:r w:rsidRPr="009E4A9C">
              <w:rPr>
                <w:rFonts w:cs="Arial"/>
                <w:color w:val="000000"/>
              </w:rPr>
              <w:t xml:space="preserve">be </w:t>
            </w:r>
            <w:r>
              <w:rPr>
                <w:rFonts w:cs="Arial"/>
                <w:color w:val="000000"/>
              </w:rPr>
              <w:t xml:space="preserve">below the GFBR for a QoS Flow with QoS Notification Control enabled without AQP. The </w:t>
            </w:r>
            <w:r w:rsidRPr="009E4A9C">
              <w:rPr>
                <w:rFonts w:cs="Arial"/>
                <w:color w:val="000000"/>
              </w:rPr>
              <w:t xml:space="preserve">“available data rate” </w:t>
            </w:r>
            <w:r>
              <w:rPr>
                <w:rFonts w:cs="Arial"/>
                <w:color w:val="000000"/>
              </w:rPr>
              <w:t xml:space="preserve">should however not be </w:t>
            </w:r>
            <w:r w:rsidRPr="009E4A9C">
              <w:rPr>
                <w:rFonts w:cs="Arial"/>
                <w:color w:val="000000"/>
              </w:rPr>
              <w:t xml:space="preserve">above </w:t>
            </w:r>
            <w:r>
              <w:rPr>
                <w:rFonts w:cs="Arial"/>
                <w:color w:val="000000"/>
              </w:rPr>
              <w:t xml:space="preserve">the </w:t>
            </w:r>
            <w:r w:rsidRPr="009E4A9C">
              <w:rPr>
                <w:rFonts w:cs="Arial"/>
                <w:color w:val="000000"/>
              </w:rPr>
              <w:t>MFBR</w:t>
            </w:r>
            <w:r>
              <w:rPr>
                <w:rFonts w:cs="Arial"/>
                <w:color w:val="000000"/>
              </w:rPr>
              <w:t xml:space="preserve"> (as the </w:t>
            </w:r>
            <w:r w:rsidRPr="009E4A9C">
              <w:rPr>
                <w:rFonts w:cs="Arial"/>
                <w:color w:val="000000"/>
              </w:rPr>
              <w:t>NG-</w:t>
            </w:r>
            <w:r>
              <w:rPr>
                <w:rFonts w:cs="Arial"/>
                <w:color w:val="000000"/>
              </w:rPr>
              <w:t>RAN is not required to provide more resources that what is required for the MFBR)</w:t>
            </w:r>
            <w:r w:rsidRPr="009E4A9C">
              <w:rPr>
                <w:rFonts w:cs="Arial"/>
                <w:color w:val="000000"/>
              </w:rPr>
              <w:t xml:space="preserve">. </w:t>
            </w:r>
          </w:p>
          <w:p w14:paraId="44461668" w14:textId="77777777" w:rsidR="00DB7E86" w:rsidRDefault="00DB7E86" w:rsidP="00DB7E86">
            <w:pPr>
              <w:rPr>
                <w:rFonts w:cs="Arial"/>
                <w:color w:val="000000"/>
              </w:rPr>
            </w:pPr>
          </w:p>
          <w:p w14:paraId="4FD66959" w14:textId="77777777" w:rsidR="00DB7E86" w:rsidRDefault="00DB7E86" w:rsidP="00DB7E86">
            <w:pPr>
              <w:rPr>
                <w:rFonts w:cs="Arial"/>
                <w:color w:val="000000"/>
              </w:rPr>
            </w:pPr>
            <w:r>
              <w:rPr>
                <w:rFonts w:cs="Arial"/>
                <w:color w:val="000000"/>
              </w:rPr>
              <w:t>Periodic reporting should not be useful for the application layer (as the “</w:t>
            </w:r>
            <w:r w:rsidRPr="009E4A9C">
              <w:rPr>
                <w:rFonts w:cs="Arial"/>
                <w:color w:val="000000"/>
              </w:rPr>
              <w:t>available data rate</w:t>
            </w:r>
            <w:r>
              <w:rPr>
                <w:rFonts w:cs="Arial"/>
                <w:color w:val="000000"/>
              </w:rPr>
              <w:t xml:space="preserve">” should often be identical to the GFBR). Threshold based reporting is considered as useful with one or more threshold values provided by the application. When the </w:t>
            </w:r>
            <w:r w:rsidRPr="009E4A9C">
              <w:rPr>
                <w:rFonts w:cs="Arial"/>
                <w:color w:val="000000"/>
              </w:rPr>
              <w:t xml:space="preserve">data rate that NG-RAN is </w:t>
            </w:r>
            <w:r>
              <w:rPr>
                <w:rFonts w:cs="Arial"/>
                <w:color w:val="000000"/>
              </w:rPr>
              <w:t xml:space="preserve">currently </w:t>
            </w:r>
            <w:r w:rsidRPr="009E4A9C">
              <w:rPr>
                <w:rFonts w:cs="Arial"/>
                <w:color w:val="000000"/>
              </w:rPr>
              <w:t xml:space="preserve">able to provide </w:t>
            </w:r>
            <w:r>
              <w:rPr>
                <w:rFonts w:cs="Arial"/>
                <w:color w:val="000000"/>
              </w:rPr>
              <w:t>for a QoS Flow crosses one of the thresholds, the NG-RAN is expected to provide the reference to the respective threshold in the UL user plane packets and the application can then adjust its data rate accordingly. The usage</w:t>
            </w:r>
            <w:r w:rsidRPr="00B64E04">
              <w:rPr>
                <w:rFonts w:cs="Arial"/>
                <w:color w:val="000000"/>
              </w:rPr>
              <w:t xml:space="preserve"> of the first packets after a change in the “available data rate” should be sufficient</w:t>
            </w:r>
            <w:r>
              <w:rPr>
                <w:rFonts w:cs="Arial"/>
                <w:color w:val="000000"/>
              </w:rPr>
              <w:t xml:space="preserve"> to transfer the information to the UPF</w:t>
            </w:r>
            <w:r w:rsidRPr="00B64E04">
              <w:rPr>
                <w:rFonts w:cs="Arial"/>
                <w:color w:val="000000"/>
              </w:rPr>
              <w:t>.</w:t>
            </w:r>
            <w:r>
              <w:rPr>
                <w:rFonts w:cs="Arial"/>
                <w:color w:val="000000"/>
              </w:rPr>
              <w:t xml:space="preserve"> </w:t>
            </w:r>
            <w:proofErr w:type="gramStart"/>
            <w:r w:rsidRPr="00B64E04">
              <w:rPr>
                <w:rFonts w:cs="Arial"/>
                <w:color w:val="000000"/>
              </w:rPr>
              <w:t>Similar to</w:t>
            </w:r>
            <w:proofErr w:type="gramEnd"/>
            <w:r w:rsidRPr="00B64E04">
              <w:rPr>
                <w:rFonts w:cs="Arial"/>
                <w:color w:val="000000"/>
              </w:rPr>
              <w:t xml:space="preserve"> the logic described in 23.501 clause 5.7.2.4.1a, the NG-RAN is expected to immediately report a change to a lower </w:t>
            </w:r>
            <w:r>
              <w:rPr>
                <w:rFonts w:cs="Arial"/>
                <w:color w:val="000000"/>
              </w:rPr>
              <w:t xml:space="preserve">threshold </w:t>
            </w:r>
            <w:r w:rsidRPr="00B64E04">
              <w:rPr>
                <w:rFonts w:cs="Arial"/>
                <w:color w:val="000000"/>
              </w:rPr>
              <w:t xml:space="preserve">value for the </w:t>
            </w:r>
            <w:r>
              <w:rPr>
                <w:rFonts w:cs="Arial"/>
                <w:color w:val="000000"/>
              </w:rPr>
              <w:t>“</w:t>
            </w:r>
            <w:r w:rsidRPr="00B64E04">
              <w:rPr>
                <w:rFonts w:cs="Arial"/>
                <w:color w:val="000000"/>
              </w:rPr>
              <w:t>available data rate</w:t>
            </w:r>
            <w:r>
              <w:rPr>
                <w:rFonts w:cs="Arial"/>
                <w:color w:val="000000"/>
              </w:rPr>
              <w:t>”</w:t>
            </w:r>
            <w:r w:rsidRPr="00B64E04">
              <w:rPr>
                <w:rFonts w:cs="Arial"/>
                <w:color w:val="000000"/>
              </w:rPr>
              <w:t xml:space="preserve"> and a change to a higher </w:t>
            </w:r>
            <w:r>
              <w:rPr>
                <w:rFonts w:cs="Arial"/>
                <w:color w:val="000000"/>
              </w:rPr>
              <w:t xml:space="preserve">threshold </w:t>
            </w:r>
            <w:r w:rsidRPr="00B64E04">
              <w:rPr>
                <w:rFonts w:cs="Arial"/>
                <w:color w:val="000000"/>
              </w:rPr>
              <w:t>value with some hysteresis</w:t>
            </w:r>
            <w:r>
              <w:rPr>
                <w:rFonts w:cs="Arial"/>
                <w:color w:val="000000"/>
              </w:rPr>
              <w:t>.</w:t>
            </w:r>
          </w:p>
          <w:p w14:paraId="1E583F81" w14:textId="332B11E6" w:rsidR="0054232F" w:rsidRPr="00751E63" w:rsidRDefault="0054232F" w:rsidP="0054232F">
            <w:pPr>
              <w:spacing w:after="60"/>
              <w:outlineLvl w:val="0"/>
              <w:rPr>
                <w:rFonts w:cs="Arial"/>
                <w:sz w:val="21"/>
                <w:szCs w:val="21"/>
                <w:lang w:eastAsia="zh-CN"/>
              </w:rPr>
            </w:pPr>
          </w:p>
        </w:tc>
      </w:tr>
    </w:tbl>
    <w:p w14:paraId="2AB7BFA0" w14:textId="77777777" w:rsidR="0039089C" w:rsidRDefault="0039089C" w:rsidP="00FE63C4">
      <w:pPr>
        <w:rPr>
          <w:rFonts w:ascii="Times New Roman" w:hAnsi="Times New Roman"/>
          <w:lang w:eastAsia="zh-CN"/>
        </w:rPr>
      </w:pPr>
    </w:p>
    <w:p w14:paraId="35F88769" w14:textId="77777777" w:rsidR="008A54A5" w:rsidRDefault="00A51502" w:rsidP="00B40F0B">
      <w:pPr>
        <w:pStyle w:val="Heading1"/>
        <w:rPr>
          <w:lang w:eastAsia="zh-CN"/>
        </w:rPr>
      </w:pPr>
      <w:r w:rsidRPr="00751E63">
        <w:rPr>
          <w:rFonts w:hint="eastAsia"/>
        </w:rPr>
        <w:t>Discussions</w:t>
      </w:r>
    </w:p>
    <w:p w14:paraId="6D6EE5F1" w14:textId="263D81C0" w:rsidR="006C61F3" w:rsidRPr="006A3893" w:rsidRDefault="006C61F3" w:rsidP="006C61F3">
      <w:pPr>
        <w:rPr>
          <w:sz w:val="21"/>
          <w:szCs w:val="21"/>
          <w:lang w:eastAsia="zh-CN"/>
        </w:rPr>
      </w:pPr>
      <w:r w:rsidRPr="006A3893">
        <w:rPr>
          <w:sz w:val="21"/>
          <w:szCs w:val="21"/>
          <w:lang w:eastAsia="zh-CN"/>
        </w:rPr>
        <w:t xml:space="preserve">According to the feedback from SA2, </w:t>
      </w:r>
      <w:r w:rsidR="006A3893" w:rsidRPr="006A3893">
        <w:rPr>
          <w:sz w:val="21"/>
          <w:szCs w:val="21"/>
          <w:lang w:eastAsia="zh-CN"/>
        </w:rPr>
        <w:t>“</w:t>
      </w:r>
      <w:r w:rsidRPr="006A3893">
        <w:rPr>
          <w:sz w:val="21"/>
          <w:szCs w:val="21"/>
          <w:lang w:eastAsia="zh-CN"/>
        </w:rPr>
        <w:t>available data rate</w:t>
      </w:r>
      <w:r w:rsidR="006A3893" w:rsidRPr="006A3893">
        <w:rPr>
          <w:sz w:val="21"/>
          <w:szCs w:val="21"/>
          <w:lang w:eastAsia="zh-CN"/>
        </w:rPr>
        <w:t xml:space="preserve">” </w:t>
      </w:r>
      <w:r w:rsidRPr="006A3893">
        <w:rPr>
          <w:sz w:val="21"/>
          <w:szCs w:val="21"/>
          <w:lang w:eastAsia="zh-CN"/>
        </w:rPr>
        <w:t>refers to the actual data rate that the RAN can currently offer for a particular QoS flow. This available data rate can vary within a defined range depending on specific conditions:</w:t>
      </w:r>
    </w:p>
    <w:p w14:paraId="52782EAF" w14:textId="6BC5B47B" w:rsidR="006C61F3" w:rsidRPr="006A3893" w:rsidRDefault="006C61F3" w:rsidP="006A3893">
      <w:pPr>
        <w:pStyle w:val="ListParagraph"/>
        <w:numPr>
          <w:ilvl w:val="0"/>
          <w:numId w:val="88"/>
        </w:numPr>
        <w:rPr>
          <w:sz w:val="21"/>
          <w:szCs w:val="21"/>
          <w:lang w:eastAsia="zh-CN"/>
        </w:rPr>
      </w:pPr>
      <w:r w:rsidRPr="006A3893">
        <w:rPr>
          <w:sz w:val="21"/>
          <w:szCs w:val="21"/>
          <w:lang w:eastAsia="zh-CN"/>
        </w:rPr>
        <w:lastRenderedPageBreak/>
        <w:t>For a QoS Flow with GFBR: The available data rate can range from the GFBR up to the MFBR if the MFBR is greater than the GFBR. This means the NG-RAN can provide a data rate that is higher than the GFBR, but it cannot exceed the MFBR, as the system is not required to allocate more resources than what the MFBR stipulates.</w:t>
      </w:r>
    </w:p>
    <w:p w14:paraId="67A3CB36" w14:textId="77777777" w:rsidR="006C61F3" w:rsidRPr="006A3893" w:rsidRDefault="006C61F3" w:rsidP="006A3893">
      <w:pPr>
        <w:pStyle w:val="ListParagraph"/>
        <w:numPr>
          <w:ilvl w:val="0"/>
          <w:numId w:val="88"/>
        </w:numPr>
        <w:rPr>
          <w:sz w:val="21"/>
          <w:szCs w:val="21"/>
          <w:lang w:eastAsia="zh-CN"/>
        </w:rPr>
      </w:pPr>
      <w:r w:rsidRPr="006A3893">
        <w:rPr>
          <w:sz w:val="21"/>
          <w:szCs w:val="21"/>
          <w:lang w:eastAsia="zh-CN"/>
        </w:rPr>
        <w:t>For a QoS Flow with QoS Notification Control enabled and no Admission Control (AQP): The available data rate can fall below the GFBR. This is a situation where the NG-RAN may not be able to provide the full GFBR due to network conditions, but the system will still communicate these adjustments through appropriate mechanisms like QoS Notifications.</w:t>
      </w:r>
    </w:p>
    <w:p w14:paraId="17702E7D" w14:textId="58453B44" w:rsidR="006A3893" w:rsidRPr="006A3893" w:rsidRDefault="006C61F3" w:rsidP="006A3893">
      <w:pPr>
        <w:rPr>
          <w:sz w:val="21"/>
          <w:szCs w:val="21"/>
          <w:lang w:eastAsia="zh-CN"/>
        </w:rPr>
      </w:pPr>
      <w:r w:rsidRPr="006A3893">
        <w:rPr>
          <w:sz w:val="21"/>
          <w:szCs w:val="21"/>
          <w:lang w:eastAsia="zh-CN"/>
        </w:rPr>
        <w:t xml:space="preserve">While the NG-RAN </w:t>
      </w:r>
      <w:proofErr w:type="gramStart"/>
      <w:r w:rsidRPr="006A3893">
        <w:rPr>
          <w:sz w:val="21"/>
          <w:szCs w:val="21"/>
          <w:lang w:eastAsia="zh-CN"/>
        </w:rPr>
        <w:t>is capable of adjusting</w:t>
      </w:r>
      <w:proofErr w:type="gramEnd"/>
      <w:r w:rsidRPr="006A3893">
        <w:rPr>
          <w:sz w:val="21"/>
          <w:szCs w:val="21"/>
          <w:lang w:eastAsia="zh-CN"/>
        </w:rPr>
        <w:t xml:space="preserve"> the available data rate between GFBR and MFBR, it will never exceed the MFBR, as NG-RAN is not required to provide more resources than necessary. Therefore, the available data rate is constrained by these values and will always stay within the limits defined by the system’s configuration.</w:t>
      </w:r>
      <w:r w:rsidR="006A3893" w:rsidRPr="006A3893">
        <w:rPr>
          <w:sz w:val="21"/>
          <w:szCs w:val="21"/>
          <w:lang w:eastAsia="zh-CN"/>
        </w:rPr>
        <w:t xml:space="preserve"> </w:t>
      </w:r>
      <w:r w:rsidRPr="006A3893">
        <w:rPr>
          <w:sz w:val="21"/>
          <w:szCs w:val="21"/>
          <w:lang w:eastAsia="zh-CN"/>
        </w:rPr>
        <w:t>Periodic reporting of the available data rate is generally not useful for the application layer because, in many cases, the available data rate remains constant at the GFBR. The application is typically concerned with changes in the data rate, so frequent reporting would not add significant value in these scenarios.</w:t>
      </w:r>
      <w:r w:rsidR="006A3893" w:rsidRPr="006A3893">
        <w:rPr>
          <w:sz w:val="21"/>
          <w:szCs w:val="21"/>
          <w:lang w:eastAsia="zh-CN"/>
        </w:rPr>
        <w:t xml:space="preserve"> </w:t>
      </w:r>
      <w:r w:rsidRPr="006A3893">
        <w:rPr>
          <w:sz w:val="21"/>
          <w:szCs w:val="21"/>
          <w:lang w:eastAsia="zh-CN"/>
        </w:rPr>
        <w:t xml:space="preserve">Threshold-based reporting is seen as more valuable for applications. In this approach, one or more threshold values are pre-configured by the application. When the available data rate crosses one of these thresholds, the NG-RAN </w:t>
      </w:r>
      <w:r w:rsidR="006200E7">
        <w:rPr>
          <w:sz w:val="21"/>
          <w:szCs w:val="21"/>
          <w:lang w:eastAsia="zh-CN"/>
        </w:rPr>
        <w:t>could</w:t>
      </w:r>
      <w:r w:rsidRPr="006A3893">
        <w:rPr>
          <w:sz w:val="21"/>
          <w:szCs w:val="21"/>
          <w:lang w:eastAsia="zh-CN"/>
        </w:rPr>
        <w:t xml:space="preserve"> report this change in the uplink (UL) user plane packets. The application can then adjust its data rate or other parameters accordingly based on the reported information.</w:t>
      </w:r>
      <w:r w:rsidR="006A3893" w:rsidRPr="006A3893">
        <w:rPr>
          <w:sz w:val="21"/>
          <w:szCs w:val="21"/>
          <w:lang w:eastAsia="zh-CN"/>
        </w:rPr>
        <w:t xml:space="preserve"> To prevent excessive notifications, the NG-RAN is expected to follow a reporting logic that includes hysteresis, particularly when the available data rate crosses the thresholds. When the network condition improves (crosses to a higher threshold), there is typically a delay or some form of stabilization before a notification is sent. This is done to avoid frequent changes in resource allocation or to prevent “flapping” (frequent, minor fluctuations in available data rates causing multiple notifications). For example, when the available data rate increases beyond a threshold, NG-RAN Node may wait for the data rate to stabilize before sending a notification, reducing unnecessary signaling and overhead. However, when the available data rate crosses a threshold in one direction (e.g., going lower), it should immediately trigger an uplink report to the application. </w:t>
      </w:r>
    </w:p>
    <w:p w14:paraId="318989E5" w14:textId="72FF854E" w:rsidR="006C61F3" w:rsidRPr="006A3893" w:rsidRDefault="006C61F3" w:rsidP="006A3893">
      <w:pPr>
        <w:rPr>
          <w:sz w:val="21"/>
          <w:szCs w:val="21"/>
          <w:lang w:eastAsia="zh-CN"/>
        </w:rPr>
      </w:pPr>
      <w:r w:rsidRPr="006A3893">
        <w:rPr>
          <w:sz w:val="21"/>
          <w:szCs w:val="21"/>
          <w:lang w:eastAsia="zh-CN"/>
        </w:rPr>
        <w:t>The first few packets sent after a change in the available data rate are expected to be sufficient to notify the UPF</w:t>
      </w:r>
      <w:r w:rsidR="006A3893" w:rsidRPr="006A3893">
        <w:rPr>
          <w:sz w:val="21"/>
          <w:szCs w:val="21"/>
          <w:lang w:eastAsia="zh-CN"/>
        </w:rPr>
        <w:t xml:space="preserve"> </w:t>
      </w:r>
      <w:r w:rsidRPr="006A3893">
        <w:rPr>
          <w:sz w:val="21"/>
          <w:szCs w:val="21"/>
          <w:lang w:eastAsia="zh-CN"/>
        </w:rPr>
        <w:t xml:space="preserve">about the new available data rate. </w:t>
      </w:r>
    </w:p>
    <w:p w14:paraId="6AADB6B1" w14:textId="33490F59" w:rsidR="00C73A14" w:rsidRDefault="00B63894" w:rsidP="00CA42A3">
      <w:pPr>
        <w:pStyle w:val="Proposal"/>
      </w:pPr>
      <w:r>
        <w:t xml:space="preserve">NG-RAN </w:t>
      </w:r>
      <w:r w:rsidR="009C77A7">
        <w:t>could</w:t>
      </w:r>
      <w:r>
        <w:t xml:space="preserve"> enable user-plane notifications of the available data rate to the UPF, triggered by predefined lower and upper threshold boundaries of the available data rate</w:t>
      </w:r>
      <w:r w:rsidR="00C73A14">
        <w:t xml:space="preserve">.  </w:t>
      </w:r>
    </w:p>
    <w:p w14:paraId="56032CE4" w14:textId="39DFF452" w:rsidR="00CA42A3" w:rsidRPr="009C77A7" w:rsidRDefault="009C77A7" w:rsidP="00CA42A3">
      <w:pPr>
        <w:pStyle w:val="Proposal"/>
      </w:pPr>
      <w:r>
        <w:t xml:space="preserve">NG-RAN shall </w:t>
      </w:r>
      <w:r w:rsidRPr="006A3893">
        <w:t>wait for the data rate to stabilize before sending a notification</w:t>
      </w:r>
      <w:r w:rsidRPr="009C77A7">
        <w:t xml:space="preserve"> when the available data rate </w:t>
      </w:r>
      <w:r>
        <w:t>increases beyond</w:t>
      </w:r>
      <w:r w:rsidRPr="006A3893">
        <w:t xml:space="preserve"> a higher threshold</w:t>
      </w:r>
      <w:r w:rsidRPr="009C77A7">
        <w:t>.</w:t>
      </w:r>
    </w:p>
    <w:p w14:paraId="75F627A8" w14:textId="224AF233" w:rsidR="009C77A7" w:rsidRPr="00CA42A3" w:rsidRDefault="009C77A7" w:rsidP="00CA42A3">
      <w:pPr>
        <w:pStyle w:val="Proposal"/>
      </w:pPr>
      <w:r>
        <w:t xml:space="preserve">NG-RAN shall immediately trigger an uplink report of the available data rate, when it decreases and crosses a lower threshold. </w:t>
      </w:r>
    </w:p>
    <w:p w14:paraId="0DB9D98B" w14:textId="692E72D7" w:rsidR="00CD4C7B" w:rsidRPr="008A54A5" w:rsidRDefault="00315925" w:rsidP="008A54A5">
      <w:pPr>
        <w:pStyle w:val="Heading1"/>
      </w:pPr>
      <w:r w:rsidRPr="008A54A5">
        <w:t>Conclusions</w:t>
      </w:r>
    </w:p>
    <w:p w14:paraId="67D20CC0" w14:textId="7E17A165" w:rsidR="00633757" w:rsidRPr="009C77A7" w:rsidRDefault="003104DD" w:rsidP="009C77A7">
      <w:pPr>
        <w:rPr>
          <w:sz w:val="21"/>
          <w:szCs w:val="21"/>
          <w:lang w:eastAsia="zh-CN"/>
        </w:rPr>
      </w:pPr>
      <w:r w:rsidRPr="009C77A7">
        <w:rPr>
          <w:sz w:val="21"/>
          <w:szCs w:val="21"/>
          <w:lang w:eastAsia="zh-CN"/>
        </w:rPr>
        <w:t xml:space="preserve">In this submission, </w:t>
      </w:r>
      <w:r w:rsidR="008744B6" w:rsidRPr="009C77A7">
        <w:rPr>
          <w:sz w:val="21"/>
          <w:szCs w:val="21"/>
          <w:lang w:eastAsia="zh-CN"/>
        </w:rPr>
        <w:t xml:space="preserve">we discussed </w:t>
      </w:r>
      <w:r w:rsidR="009C77A7" w:rsidRPr="009C77A7">
        <w:rPr>
          <w:sz w:val="21"/>
          <w:szCs w:val="21"/>
          <w:lang w:eastAsia="zh-CN"/>
        </w:rPr>
        <w:t>reporting the available data rate at NG-RAN via user plane</w:t>
      </w:r>
      <w:r w:rsidR="00780897" w:rsidRPr="009C77A7">
        <w:rPr>
          <w:sz w:val="21"/>
          <w:szCs w:val="21"/>
          <w:lang w:eastAsia="zh-CN"/>
        </w:rPr>
        <w:t>. The following proposals are made:</w:t>
      </w:r>
    </w:p>
    <w:p w14:paraId="20599831" w14:textId="77777777" w:rsidR="009C77A7" w:rsidRDefault="009C77A7" w:rsidP="009C77A7">
      <w:pPr>
        <w:pStyle w:val="Proposal"/>
        <w:numPr>
          <w:ilvl w:val="0"/>
          <w:numId w:val="91"/>
        </w:numPr>
      </w:pPr>
      <w:r>
        <w:lastRenderedPageBreak/>
        <w:t xml:space="preserve">NG-RAN could enable user-plane notifications of the available data rate to the UPF, triggered by predefined lower and upper threshold boundaries of the available data rate.  </w:t>
      </w:r>
    </w:p>
    <w:p w14:paraId="2830582F" w14:textId="77777777" w:rsidR="009C77A7" w:rsidRPr="009C77A7" w:rsidRDefault="009C77A7" w:rsidP="009C77A7">
      <w:pPr>
        <w:pStyle w:val="Proposal"/>
      </w:pPr>
      <w:r>
        <w:t xml:space="preserve">NG-RAN shall </w:t>
      </w:r>
      <w:r w:rsidRPr="006A3893">
        <w:t>wait for the data rate to stabilize before sending a notification</w:t>
      </w:r>
      <w:r w:rsidRPr="009C77A7">
        <w:t xml:space="preserve"> when the available data rate </w:t>
      </w:r>
      <w:r>
        <w:t>increases beyond</w:t>
      </w:r>
      <w:r w:rsidRPr="006A3893">
        <w:t xml:space="preserve"> a higher threshold</w:t>
      </w:r>
      <w:r w:rsidRPr="009C77A7">
        <w:t>.</w:t>
      </w:r>
    </w:p>
    <w:p w14:paraId="61B3C862" w14:textId="77777777" w:rsidR="009C77A7" w:rsidRPr="00CA42A3" w:rsidRDefault="009C77A7" w:rsidP="009C77A7">
      <w:pPr>
        <w:pStyle w:val="Proposal"/>
      </w:pPr>
      <w:r>
        <w:t xml:space="preserve">NG-RAN shall immediately trigger an uplink report of the available data rate, when it decreases and crosses a lower threshold. </w:t>
      </w:r>
    </w:p>
    <w:p w14:paraId="47C7E22D" w14:textId="66777155" w:rsidR="006D312F" w:rsidRPr="00654DA0" w:rsidRDefault="006D312F" w:rsidP="00654DA0">
      <w:pPr>
        <w:pStyle w:val="Heading1"/>
      </w:pPr>
      <w:r w:rsidRPr="00654DA0">
        <w:t>Reference</w:t>
      </w:r>
      <w:r w:rsidR="00633757" w:rsidRPr="00654DA0">
        <w:t>s</w:t>
      </w:r>
    </w:p>
    <w:p w14:paraId="365B6AC1" w14:textId="4557C417" w:rsidR="008A54A5" w:rsidRPr="008A54A5" w:rsidRDefault="00DB7E86" w:rsidP="00654DA0">
      <w:pPr>
        <w:pStyle w:val="References"/>
        <w:rPr>
          <w:sz w:val="22"/>
          <w:szCs w:val="20"/>
        </w:rPr>
      </w:pPr>
      <w:bookmarkStart w:id="3" w:name="_Ref181699015"/>
      <w:bookmarkStart w:id="4" w:name="_Ref157696334"/>
      <w:bookmarkStart w:id="5" w:name="_Ref177241924"/>
      <w:bookmarkStart w:id="6" w:name="_Ref110933031"/>
      <w:r>
        <w:t>R3-250018</w:t>
      </w:r>
      <w:r w:rsidR="008A54A5">
        <w:rPr>
          <w:rFonts w:hint="eastAsia"/>
        </w:rPr>
        <w:t xml:space="preserve">, </w:t>
      </w:r>
      <w:bookmarkEnd w:id="3"/>
      <w:r w:rsidR="006C61F3" w:rsidRPr="009E4A9C">
        <w:rPr>
          <w:color w:val="000000"/>
        </w:rPr>
        <w:t>LS Reply on FS_XRM Ph2</w:t>
      </w:r>
    </w:p>
    <w:bookmarkEnd w:id="4"/>
    <w:bookmarkEnd w:id="5"/>
    <w:p w14:paraId="1C2EFD80" w14:textId="35057511" w:rsidR="006201BE" w:rsidRPr="00CA555C" w:rsidRDefault="006201BE" w:rsidP="008A54A5">
      <w:pPr>
        <w:pStyle w:val="References"/>
        <w:numPr>
          <w:ilvl w:val="0"/>
          <w:numId w:val="0"/>
        </w:numPr>
        <w:ind w:left="360"/>
        <w:rPr>
          <w:sz w:val="22"/>
          <w:szCs w:val="20"/>
        </w:rPr>
      </w:pPr>
    </w:p>
    <w:bookmarkEnd w:id="6"/>
    <w:p w14:paraId="0725C22B" w14:textId="77777777" w:rsidR="00821ACC" w:rsidRDefault="00821ACC" w:rsidP="006201BE">
      <w:pPr>
        <w:pStyle w:val="ListParagraph"/>
        <w:autoSpaceDE w:val="0"/>
        <w:autoSpaceDN w:val="0"/>
        <w:adjustRightInd w:val="0"/>
        <w:spacing w:after="0"/>
        <w:jc w:val="left"/>
        <w:rPr>
          <w:rFonts w:ascii="Times New Roman" w:hAnsi="Times New Roman"/>
          <w:lang w:eastAsia="zh-CN"/>
        </w:rPr>
      </w:pPr>
    </w:p>
    <w:p w14:paraId="19139A93" w14:textId="77777777" w:rsidR="00821ACC" w:rsidRPr="00821ACC" w:rsidRDefault="00821ACC" w:rsidP="00821ACC">
      <w:pPr>
        <w:autoSpaceDE w:val="0"/>
        <w:autoSpaceDN w:val="0"/>
        <w:adjustRightInd w:val="0"/>
        <w:spacing w:after="0"/>
        <w:jc w:val="left"/>
        <w:rPr>
          <w:rFonts w:ascii="Times New Roman" w:hAnsi="Times New Roman"/>
          <w:lang w:eastAsia="zh-CN"/>
        </w:rPr>
      </w:pPr>
    </w:p>
    <w:p w14:paraId="5C9A5D48" w14:textId="77777777" w:rsidR="00821ACC" w:rsidRPr="00821ACC" w:rsidRDefault="00821ACC">
      <w:pPr>
        <w:autoSpaceDE w:val="0"/>
        <w:autoSpaceDN w:val="0"/>
        <w:adjustRightInd w:val="0"/>
        <w:spacing w:after="0"/>
        <w:jc w:val="left"/>
        <w:rPr>
          <w:rFonts w:ascii="Times New Roman" w:hAnsi="Times New Roman"/>
          <w:lang w:eastAsia="zh-CN"/>
        </w:rPr>
      </w:pPr>
    </w:p>
    <w:sectPr w:rsidR="00821ACC" w:rsidRPr="00821ACC"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BDFCB" w14:textId="77777777" w:rsidR="008E59DF" w:rsidRDefault="008E59DF">
      <w:r>
        <w:separator/>
      </w:r>
    </w:p>
  </w:endnote>
  <w:endnote w:type="continuationSeparator" w:id="0">
    <w:p w14:paraId="4D9B2E9E" w14:textId="77777777" w:rsidR="008E59DF" w:rsidRDefault="008E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C22C2" w14:textId="77777777" w:rsidR="008E59DF" w:rsidRDefault="008E59DF">
      <w:r>
        <w:separator/>
      </w:r>
    </w:p>
  </w:footnote>
  <w:footnote w:type="continuationSeparator" w:id="0">
    <w:p w14:paraId="5E95B6E6" w14:textId="77777777" w:rsidR="008E59DF" w:rsidRDefault="008E59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SimSun"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1D65FB1"/>
    <w:multiLevelType w:val="multilevel"/>
    <w:tmpl w:val="9E1AD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FD2042"/>
    <w:multiLevelType w:val="hybridMultilevel"/>
    <w:tmpl w:val="7B4C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23EC52FA"/>
    <w:multiLevelType w:val="multilevel"/>
    <w:tmpl w:val="3696751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07B2B9B"/>
    <w:multiLevelType w:val="multilevel"/>
    <w:tmpl w:val="1414B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E51898"/>
    <w:multiLevelType w:val="multilevel"/>
    <w:tmpl w:val="88B6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8"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6A7548E"/>
    <w:multiLevelType w:val="hybridMultilevel"/>
    <w:tmpl w:val="185A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1"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29"/>
  </w:num>
  <w:num w:numId="2" w16cid:durableId="929317424">
    <w:abstractNumId w:val="19"/>
  </w:num>
  <w:num w:numId="3" w16cid:durableId="1341658306">
    <w:abstractNumId w:val="47"/>
  </w:num>
  <w:num w:numId="4" w16cid:durableId="1931816443">
    <w:abstractNumId w:val="45"/>
  </w:num>
  <w:num w:numId="5" w16cid:durableId="1020010807">
    <w:abstractNumId w:val="6"/>
  </w:num>
  <w:num w:numId="6" w16cid:durableId="1691182668">
    <w:abstractNumId w:val="38"/>
  </w:num>
  <w:num w:numId="7" w16cid:durableId="608708262">
    <w:abstractNumId w:val="40"/>
  </w:num>
  <w:num w:numId="8" w16cid:durableId="1232159132">
    <w:abstractNumId w:val="21"/>
  </w:num>
  <w:num w:numId="9" w16cid:durableId="1522284675">
    <w:abstractNumId w:val="27"/>
  </w:num>
  <w:num w:numId="10" w16cid:durableId="1258907739">
    <w:abstractNumId w:val="3"/>
  </w:num>
  <w:num w:numId="11" w16cid:durableId="1866602296">
    <w:abstractNumId w:val="43"/>
  </w:num>
  <w:num w:numId="12" w16cid:durableId="872883717">
    <w:abstractNumId w:val="32"/>
  </w:num>
  <w:num w:numId="13" w16cid:durableId="489491498">
    <w:abstractNumId w:val="25"/>
  </w:num>
  <w:num w:numId="14" w16cid:durableId="27800098">
    <w:abstractNumId w:val="2"/>
  </w:num>
  <w:num w:numId="15" w16cid:durableId="1579092266">
    <w:abstractNumId w:val="36"/>
  </w:num>
  <w:num w:numId="16" w16cid:durableId="1672636787">
    <w:abstractNumId w:val="4"/>
  </w:num>
  <w:num w:numId="17" w16cid:durableId="1025518140">
    <w:abstractNumId w:val="39"/>
  </w:num>
  <w:num w:numId="18" w16cid:durableId="1711491104">
    <w:abstractNumId w:val="33"/>
  </w:num>
  <w:num w:numId="19" w16cid:durableId="1115977643">
    <w:abstractNumId w:val="20"/>
  </w:num>
  <w:num w:numId="20" w16cid:durableId="2029063295">
    <w:abstractNumId w:val="7"/>
  </w:num>
  <w:num w:numId="21" w16cid:durableId="1506286593">
    <w:abstractNumId w:val="10"/>
  </w:num>
  <w:num w:numId="22" w16cid:durableId="424887116">
    <w:abstractNumId w:val="37"/>
  </w:num>
  <w:num w:numId="23" w16cid:durableId="1031536640">
    <w:abstractNumId w:val="23"/>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19"/>
  </w:num>
  <w:num w:numId="26" w16cid:durableId="1852602584">
    <w:abstractNumId w:val="19"/>
  </w:num>
  <w:num w:numId="27" w16cid:durableId="1420516815">
    <w:abstractNumId w:val="19"/>
  </w:num>
  <w:num w:numId="28" w16cid:durableId="1160199736">
    <w:abstractNumId w:val="0"/>
  </w:num>
  <w:num w:numId="29" w16cid:durableId="1874537894">
    <w:abstractNumId w:val="51"/>
  </w:num>
  <w:num w:numId="30" w16cid:durableId="332757056">
    <w:abstractNumId w:val="42"/>
  </w:num>
  <w:num w:numId="31" w16cid:durableId="929393867">
    <w:abstractNumId w:val="11"/>
  </w:num>
  <w:num w:numId="32" w16cid:durableId="82456433">
    <w:abstractNumId w:val="34"/>
  </w:num>
  <w:num w:numId="33" w16cid:durableId="1266109118">
    <w:abstractNumId w:val="5"/>
  </w:num>
  <w:num w:numId="34" w16cid:durableId="1869677376">
    <w:abstractNumId w:val="49"/>
  </w:num>
  <w:num w:numId="35" w16cid:durableId="1450471578">
    <w:abstractNumId w:val="18"/>
  </w:num>
  <w:num w:numId="36" w16cid:durableId="1737898520">
    <w:abstractNumId w:val="50"/>
  </w:num>
  <w:num w:numId="37" w16cid:durableId="7204011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24"/>
  </w:num>
  <w:num w:numId="39" w16cid:durableId="388265492">
    <w:abstractNumId w:val="28"/>
  </w:num>
  <w:num w:numId="40" w16cid:durableId="2108573615">
    <w:abstractNumId w:val="19"/>
  </w:num>
  <w:num w:numId="41" w16cid:durableId="1083915559">
    <w:abstractNumId w:val="44"/>
  </w:num>
  <w:num w:numId="42" w16cid:durableId="1013142889">
    <w:abstractNumId w:val="19"/>
  </w:num>
  <w:num w:numId="43" w16cid:durableId="1900286869">
    <w:abstractNumId w:val="19"/>
  </w:num>
  <w:num w:numId="44" w16cid:durableId="717319588">
    <w:abstractNumId w:val="19"/>
  </w:num>
  <w:num w:numId="45" w16cid:durableId="129859372">
    <w:abstractNumId w:val="13"/>
  </w:num>
  <w:num w:numId="46" w16cid:durableId="1857229193">
    <w:abstractNumId w:val="30"/>
  </w:num>
  <w:num w:numId="47" w16cid:durableId="1297299387">
    <w:abstractNumId w:val="19"/>
  </w:num>
  <w:num w:numId="48" w16cid:durableId="1702389434">
    <w:abstractNumId w:val="30"/>
    <w:lvlOverride w:ilvl="0">
      <w:startOverride w:val="1"/>
    </w:lvlOverride>
  </w:num>
  <w:num w:numId="49" w16cid:durableId="1215852588">
    <w:abstractNumId w:val="14"/>
  </w:num>
  <w:num w:numId="50" w16cid:durableId="1356805918">
    <w:abstractNumId w:val="22"/>
  </w:num>
  <w:num w:numId="51" w16cid:durableId="621379240">
    <w:abstractNumId w:val="19"/>
  </w:num>
  <w:num w:numId="52" w16cid:durableId="1225486612">
    <w:abstractNumId w:val="30"/>
  </w:num>
  <w:num w:numId="53" w16cid:durableId="1124883403">
    <w:abstractNumId w:val="19"/>
  </w:num>
  <w:num w:numId="54" w16cid:durableId="1324897532">
    <w:abstractNumId w:val="30"/>
  </w:num>
  <w:num w:numId="55" w16cid:durableId="1925412892">
    <w:abstractNumId w:val="19"/>
  </w:num>
  <w:num w:numId="56" w16cid:durableId="824319759">
    <w:abstractNumId w:val="30"/>
    <w:lvlOverride w:ilvl="0">
      <w:startOverride w:val="1"/>
    </w:lvlOverride>
  </w:num>
  <w:num w:numId="57" w16cid:durableId="2141802537">
    <w:abstractNumId w:val="30"/>
  </w:num>
  <w:num w:numId="58" w16cid:durableId="443042114">
    <w:abstractNumId w:val="30"/>
    <w:lvlOverride w:ilvl="0">
      <w:startOverride w:val="1"/>
    </w:lvlOverride>
  </w:num>
  <w:num w:numId="59" w16cid:durableId="2013754555">
    <w:abstractNumId w:val="19"/>
  </w:num>
  <w:num w:numId="60" w16cid:durableId="1030885884">
    <w:abstractNumId w:val="30"/>
    <w:lvlOverride w:ilvl="0">
      <w:startOverride w:val="1"/>
    </w:lvlOverride>
  </w:num>
  <w:num w:numId="61" w16cid:durableId="922104095">
    <w:abstractNumId w:val="30"/>
    <w:lvlOverride w:ilvl="0">
      <w:startOverride w:val="1"/>
    </w:lvlOverride>
  </w:num>
  <w:num w:numId="62" w16cid:durableId="258873928">
    <w:abstractNumId w:val="30"/>
  </w:num>
  <w:num w:numId="63" w16cid:durableId="886065078">
    <w:abstractNumId w:val="30"/>
  </w:num>
  <w:num w:numId="64" w16cid:durableId="642084446">
    <w:abstractNumId w:val="19"/>
  </w:num>
  <w:num w:numId="65" w16cid:durableId="923345363">
    <w:abstractNumId w:val="19"/>
  </w:num>
  <w:num w:numId="66" w16cid:durableId="323365687">
    <w:abstractNumId w:val="30"/>
    <w:lvlOverride w:ilvl="0">
      <w:startOverride w:val="1"/>
    </w:lvlOverride>
  </w:num>
  <w:num w:numId="67" w16cid:durableId="102964894">
    <w:abstractNumId w:val="41"/>
  </w:num>
  <w:num w:numId="68" w16cid:durableId="1316303987">
    <w:abstractNumId w:val="19"/>
  </w:num>
  <w:num w:numId="69" w16cid:durableId="124854967">
    <w:abstractNumId w:val="48"/>
  </w:num>
  <w:num w:numId="70" w16cid:durableId="1429500275">
    <w:abstractNumId w:val="19"/>
  </w:num>
  <w:num w:numId="71" w16cid:durableId="1188835170">
    <w:abstractNumId w:val="30"/>
  </w:num>
  <w:num w:numId="72" w16cid:durableId="1427968080">
    <w:abstractNumId w:val="12"/>
  </w:num>
  <w:num w:numId="73" w16cid:durableId="1171602972">
    <w:abstractNumId w:val="16"/>
  </w:num>
  <w:num w:numId="74" w16cid:durableId="1561017895">
    <w:abstractNumId w:val="31"/>
  </w:num>
  <w:num w:numId="75" w16cid:durableId="813064567">
    <w:abstractNumId w:val="31"/>
  </w:num>
  <w:num w:numId="76" w16cid:durableId="859926733">
    <w:abstractNumId w:val="30"/>
    <w:lvlOverride w:ilvl="0">
      <w:startOverride w:val="1"/>
    </w:lvlOverride>
  </w:num>
  <w:num w:numId="77" w16cid:durableId="1543441965">
    <w:abstractNumId w:val="19"/>
  </w:num>
  <w:num w:numId="78" w16cid:durableId="518858588">
    <w:abstractNumId w:val="19"/>
  </w:num>
  <w:num w:numId="79" w16cid:durableId="2109811805">
    <w:abstractNumId w:val="30"/>
  </w:num>
  <w:num w:numId="80" w16cid:durableId="1716345119">
    <w:abstractNumId w:val="30"/>
  </w:num>
  <w:num w:numId="81" w16cid:durableId="1088422651">
    <w:abstractNumId w:val="30"/>
    <w:lvlOverride w:ilvl="0">
      <w:startOverride w:val="1"/>
    </w:lvlOverride>
  </w:num>
  <w:num w:numId="82" w16cid:durableId="2081370552">
    <w:abstractNumId w:val="8"/>
  </w:num>
  <w:num w:numId="83" w16cid:durableId="1726250580">
    <w:abstractNumId w:val="31"/>
  </w:num>
  <w:num w:numId="84" w16cid:durableId="1119492759">
    <w:abstractNumId w:val="26"/>
  </w:num>
  <w:num w:numId="85" w16cid:durableId="271010330">
    <w:abstractNumId w:val="35"/>
  </w:num>
  <w:num w:numId="86" w16cid:durableId="944115728">
    <w:abstractNumId w:val="46"/>
  </w:num>
  <w:num w:numId="87" w16cid:durableId="127548695">
    <w:abstractNumId w:val="9"/>
  </w:num>
  <w:num w:numId="88" w16cid:durableId="400950542">
    <w:abstractNumId w:val="17"/>
  </w:num>
  <w:num w:numId="89" w16cid:durableId="957760164">
    <w:abstractNumId w:val="30"/>
  </w:num>
  <w:num w:numId="90" w16cid:durableId="1014303467">
    <w:abstractNumId w:val="30"/>
  </w:num>
  <w:num w:numId="91" w16cid:durableId="1902903725">
    <w:abstractNumId w:val="30"/>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23A"/>
    <w:rsid w:val="00034647"/>
    <w:rsid w:val="00034D4E"/>
    <w:rsid w:val="000350F4"/>
    <w:rsid w:val="0003561C"/>
    <w:rsid w:val="00035CE8"/>
    <w:rsid w:val="00036835"/>
    <w:rsid w:val="000373CE"/>
    <w:rsid w:val="00037CB0"/>
    <w:rsid w:val="00040095"/>
    <w:rsid w:val="0004012C"/>
    <w:rsid w:val="00041097"/>
    <w:rsid w:val="00042B4B"/>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5518"/>
    <w:rsid w:val="000B5F69"/>
    <w:rsid w:val="000B6152"/>
    <w:rsid w:val="000B7452"/>
    <w:rsid w:val="000B7BCF"/>
    <w:rsid w:val="000B7C88"/>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3DD8"/>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2F5E"/>
    <w:rsid w:val="0025331A"/>
    <w:rsid w:val="0025363A"/>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5728"/>
    <w:rsid w:val="002F6205"/>
    <w:rsid w:val="002F6AB4"/>
    <w:rsid w:val="002F6B3B"/>
    <w:rsid w:val="002F6E94"/>
    <w:rsid w:val="002F6EB7"/>
    <w:rsid w:val="002F7AEC"/>
    <w:rsid w:val="00300CFC"/>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738"/>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79C7"/>
    <w:rsid w:val="004607FD"/>
    <w:rsid w:val="00460871"/>
    <w:rsid w:val="00461AC0"/>
    <w:rsid w:val="00462FD4"/>
    <w:rsid w:val="00463A45"/>
    <w:rsid w:val="00464A2A"/>
    <w:rsid w:val="00465DD3"/>
    <w:rsid w:val="00467084"/>
    <w:rsid w:val="00467512"/>
    <w:rsid w:val="00471869"/>
    <w:rsid w:val="004723AF"/>
    <w:rsid w:val="00473036"/>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3521"/>
    <w:rsid w:val="004B3826"/>
    <w:rsid w:val="004B38E8"/>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5C04"/>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1924"/>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32F"/>
    <w:rsid w:val="005428A0"/>
    <w:rsid w:val="0054304C"/>
    <w:rsid w:val="00543E6C"/>
    <w:rsid w:val="00544F0F"/>
    <w:rsid w:val="00545137"/>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214"/>
    <w:rsid w:val="00590D7B"/>
    <w:rsid w:val="00594A29"/>
    <w:rsid w:val="00595ED3"/>
    <w:rsid w:val="00596408"/>
    <w:rsid w:val="0059667B"/>
    <w:rsid w:val="005970DC"/>
    <w:rsid w:val="00597108"/>
    <w:rsid w:val="005A0F91"/>
    <w:rsid w:val="005A1616"/>
    <w:rsid w:val="005A27FC"/>
    <w:rsid w:val="005A549B"/>
    <w:rsid w:val="005A54D6"/>
    <w:rsid w:val="005A5C68"/>
    <w:rsid w:val="005A6F6F"/>
    <w:rsid w:val="005B00D9"/>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0E7"/>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3169"/>
    <w:rsid w:val="006937BA"/>
    <w:rsid w:val="00695FE2"/>
    <w:rsid w:val="00697F47"/>
    <w:rsid w:val="006A16B1"/>
    <w:rsid w:val="006A1844"/>
    <w:rsid w:val="006A20CA"/>
    <w:rsid w:val="006A22ED"/>
    <w:rsid w:val="006A3000"/>
    <w:rsid w:val="006A3893"/>
    <w:rsid w:val="006A39DE"/>
    <w:rsid w:val="006A6EA6"/>
    <w:rsid w:val="006A7254"/>
    <w:rsid w:val="006A7787"/>
    <w:rsid w:val="006B06DE"/>
    <w:rsid w:val="006B0AA3"/>
    <w:rsid w:val="006B0D76"/>
    <w:rsid w:val="006B152D"/>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1F3"/>
    <w:rsid w:val="006C63DB"/>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6B7F"/>
    <w:rsid w:val="007506BD"/>
    <w:rsid w:val="00751E63"/>
    <w:rsid w:val="00752B37"/>
    <w:rsid w:val="0075366B"/>
    <w:rsid w:val="00753BB0"/>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14D4"/>
    <w:rsid w:val="0077237E"/>
    <w:rsid w:val="00772A77"/>
    <w:rsid w:val="00772E60"/>
    <w:rsid w:val="007734C5"/>
    <w:rsid w:val="00773E00"/>
    <w:rsid w:val="00774714"/>
    <w:rsid w:val="00774784"/>
    <w:rsid w:val="00774CC7"/>
    <w:rsid w:val="00774DFA"/>
    <w:rsid w:val="00774E61"/>
    <w:rsid w:val="007755AF"/>
    <w:rsid w:val="007758B2"/>
    <w:rsid w:val="00775B8F"/>
    <w:rsid w:val="007760EE"/>
    <w:rsid w:val="007761BE"/>
    <w:rsid w:val="007765CE"/>
    <w:rsid w:val="0077661C"/>
    <w:rsid w:val="00777A5F"/>
    <w:rsid w:val="00780824"/>
    <w:rsid w:val="00780897"/>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BB7"/>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3E98"/>
    <w:rsid w:val="008947F5"/>
    <w:rsid w:val="008948D9"/>
    <w:rsid w:val="00894D0F"/>
    <w:rsid w:val="0089567F"/>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9DF"/>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C77A7"/>
    <w:rsid w:val="009D05A9"/>
    <w:rsid w:val="009D1423"/>
    <w:rsid w:val="009D16C1"/>
    <w:rsid w:val="009D1714"/>
    <w:rsid w:val="009D256D"/>
    <w:rsid w:val="009D25D9"/>
    <w:rsid w:val="009D3B54"/>
    <w:rsid w:val="009D3E5D"/>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F02"/>
    <w:rsid w:val="00A10F0A"/>
    <w:rsid w:val="00A11623"/>
    <w:rsid w:val="00A119B7"/>
    <w:rsid w:val="00A11FC2"/>
    <w:rsid w:val="00A12DF2"/>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015"/>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01A6"/>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48D"/>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3894"/>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281"/>
    <w:rsid w:val="00BC6609"/>
    <w:rsid w:val="00BC6648"/>
    <w:rsid w:val="00BC7035"/>
    <w:rsid w:val="00BC79D2"/>
    <w:rsid w:val="00BD03EF"/>
    <w:rsid w:val="00BD07A7"/>
    <w:rsid w:val="00BD0D43"/>
    <w:rsid w:val="00BD1057"/>
    <w:rsid w:val="00BD1D0B"/>
    <w:rsid w:val="00BD34AD"/>
    <w:rsid w:val="00BD360F"/>
    <w:rsid w:val="00BD39B3"/>
    <w:rsid w:val="00BD4052"/>
    <w:rsid w:val="00BD4382"/>
    <w:rsid w:val="00BD4466"/>
    <w:rsid w:val="00BD4C0B"/>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F4"/>
    <w:rsid w:val="00C15450"/>
    <w:rsid w:val="00C155BD"/>
    <w:rsid w:val="00C156D0"/>
    <w:rsid w:val="00C15CAD"/>
    <w:rsid w:val="00C15D11"/>
    <w:rsid w:val="00C16C3B"/>
    <w:rsid w:val="00C175E4"/>
    <w:rsid w:val="00C2099D"/>
    <w:rsid w:val="00C22312"/>
    <w:rsid w:val="00C236C9"/>
    <w:rsid w:val="00C23ABD"/>
    <w:rsid w:val="00C23D26"/>
    <w:rsid w:val="00C23E4C"/>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3A14"/>
    <w:rsid w:val="00C75038"/>
    <w:rsid w:val="00C760EA"/>
    <w:rsid w:val="00C779B4"/>
    <w:rsid w:val="00C77A67"/>
    <w:rsid w:val="00C80059"/>
    <w:rsid w:val="00C8052C"/>
    <w:rsid w:val="00C8185D"/>
    <w:rsid w:val="00C820BD"/>
    <w:rsid w:val="00C82751"/>
    <w:rsid w:val="00C83197"/>
    <w:rsid w:val="00C8335E"/>
    <w:rsid w:val="00C83613"/>
    <w:rsid w:val="00C84FC9"/>
    <w:rsid w:val="00C87A10"/>
    <w:rsid w:val="00C92CEC"/>
    <w:rsid w:val="00C938AF"/>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889"/>
    <w:rsid w:val="00D04245"/>
    <w:rsid w:val="00D04A49"/>
    <w:rsid w:val="00D05134"/>
    <w:rsid w:val="00D052C9"/>
    <w:rsid w:val="00D059F1"/>
    <w:rsid w:val="00D06D94"/>
    <w:rsid w:val="00D07005"/>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505F"/>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90"/>
    <w:rsid w:val="00D33E7F"/>
    <w:rsid w:val="00D351C2"/>
    <w:rsid w:val="00D36E4F"/>
    <w:rsid w:val="00D37653"/>
    <w:rsid w:val="00D379BA"/>
    <w:rsid w:val="00D37C70"/>
    <w:rsid w:val="00D41E58"/>
    <w:rsid w:val="00D426CF"/>
    <w:rsid w:val="00D42E0A"/>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0F9A"/>
    <w:rsid w:val="00D9134D"/>
    <w:rsid w:val="00D91B07"/>
    <w:rsid w:val="00D93B50"/>
    <w:rsid w:val="00D949CB"/>
    <w:rsid w:val="00D96100"/>
    <w:rsid w:val="00D966F1"/>
    <w:rsid w:val="00D97512"/>
    <w:rsid w:val="00D976D2"/>
    <w:rsid w:val="00D9785D"/>
    <w:rsid w:val="00D97AA0"/>
    <w:rsid w:val="00DA2A21"/>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07A"/>
    <w:rsid w:val="00DB391E"/>
    <w:rsid w:val="00DB3E2E"/>
    <w:rsid w:val="00DB4D36"/>
    <w:rsid w:val="00DB54BB"/>
    <w:rsid w:val="00DB5517"/>
    <w:rsid w:val="00DB555D"/>
    <w:rsid w:val="00DB5799"/>
    <w:rsid w:val="00DB5D63"/>
    <w:rsid w:val="00DB61E5"/>
    <w:rsid w:val="00DB61EE"/>
    <w:rsid w:val="00DB62B3"/>
    <w:rsid w:val="00DB7370"/>
    <w:rsid w:val="00DB78C1"/>
    <w:rsid w:val="00DB7E86"/>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4C2"/>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68"/>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241"/>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2"/>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SimSun" w:hAnsi="Times New Roman"/>
      <w:color w:val="FF0000"/>
    </w:rPr>
  </w:style>
  <w:style w:type="paragraph" w:customStyle="1" w:styleId="Proposal">
    <w:name w:val="Proposal"/>
    <w:basedOn w:val="Normal"/>
    <w:link w:val="ProposalChar"/>
    <w:qFormat/>
    <w:rsid w:val="00751E63"/>
    <w:pPr>
      <w:numPr>
        <w:numId w:val="46"/>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SimSun"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74"/>
      </w:numPr>
      <w:autoSpaceDE w:val="0"/>
      <w:autoSpaceDN w:val="0"/>
      <w:snapToGrid w:val="0"/>
      <w:spacing w:after="60"/>
    </w:pPr>
    <w:rPr>
      <w:rFonts w:ascii="Times New Roman" w:eastAsia="SimSun"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114</TotalTime>
  <Pages>3</Pages>
  <Words>973</Words>
  <Characters>5549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Lijun Dong</cp:lastModifiedBy>
  <cp:revision>13</cp:revision>
  <cp:lastPrinted>2016-01-11T02:35:00Z</cp:lastPrinted>
  <dcterms:created xsi:type="dcterms:W3CDTF">2024-11-05T19:43:00Z</dcterms:created>
  <dcterms:modified xsi:type="dcterms:W3CDTF">2025-02-06T18:39:00Z</dcterms:modified>
</cp:coreProperties>
</file>